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08"/>
        <w:gridCol w:w="788"/>
        <w:gridCol w:w="850"/>
        <w:gridCol w:w="2"/>
        <w:gridCol w:w="1081"/>
        <w:gridCol w:w="120"/>
        <w:gridCol w:w="674"/>
        <w:gridCol w:w="1203"/>
        <w:gridCol w:w="354"/>
        <w:gridCol w:w="1274"/>
        <w:gridCol w:w="249"/>
        <w:gridCol w:w="1169"/>
        <w:gridCol w:w="679"/>
        <w:gridCol w:w="32"/>
        <w:gridCol w:w="564"/>
        <w:gridCol w:w="1318"/>
      </w:tblGrid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63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Dydaktyka medyczna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B nauki społeczne i humanizm w ratownictwie medycznym</w:t>
            </w:r>
          </w:p>
        </w:tc>
      </w:tr>
      <w:tr>
        <w:trPr>
          <w:trHeight w:val="165" w:hRule="atLeast"/>
        </w:trPr>
        <w:tc>
          <w:tcPr>
            <w:tcW w:w="3629" w:type="dxa"/>
            <w:gridSpan w:val="5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6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5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08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88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7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7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8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08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08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88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77" w:type="dxa"/>
            <w:gridSpan w:val="4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57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8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Brak</w:t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Fonts w:eastAsia="Calibri" w:eastAsiaTheme="minorHAnsi"/>
                <w:sz w:val="20"/>
                <w:szCs w:val="20"/>
                <w:lang w:eastAsia="en-US"/>
              </w:rPr>
              <w:t>Opanowanie wiedzy i umiejętności pozwalających studentowi na posługiwanie się w działalności dydaktycznej podstawowymi pojęciami dydaktyki.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rFonts w:eastAsia="Calibri" w:eastAsiaTheme="minorHAnsi"/>
                <w:sz w:val="20"/>
                <w:szCs w:val="20"/>
                <w:lang w:eastAsia="en-US"/>
              </w:rPr>
              <w:t>Dostarczenie wiedzy i umiejętności w zakresie opracowania konspektu, wykorzystania sprzętu podstawowego i specjalistycznego do nauki medycznych czynności ratunkowych.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rFonts w:eastAsia="Calibri" w:eastAsiaTheme="minorHAnsi"/>
                <w:sz w:val="20"/>
                <w:szCs w:val="20"/>
                <w:lang w:eastAsia="en-US"/>
              </w:rPr>
            </w:pPr>
            <w:r>
              <w:rPr>
                <w:rFonts w:eastAsia="Calibri" w:eastAsiaTheme="minorHAnsi"/>
                <w:sz w:val="20"/>
                <w:szCs w:val="20"/>
                <w:lang w:eastAsia="en-US"/>
              </w:rPr>
              <w:t>Dostarczenie wiedzy i umiejętności w zakresie stosowanie się do zasad prowadzenia procesu dydaktycznego, kształtowania otwartej, aktywnej i samodzielnej postawy studenta oraz przygotowanie do wypełniania roli i zadań nauczyciela w ratownictwie medycznym.</w:t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Wykład: wykład informacyjny, wykład problemowy, wykład z prezentacją multimedialną.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dyskusja, rozwiązywanie zadań, praca w grupach.</w:t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Wykłady: prezentacja multimedialna, programy multimedialne, tablice.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Ćwiczenia: prezentacja multimedialna, praca w grupach, burza mózgów, dyskusja akademicka.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 Absolwent zna i rozumie:</w:t>
            </w:r>
          </w:p>
        </w:tc>
        <w:tc>
          <w:tcPr>
            <w:tcW w:w="6803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B.W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19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zasady komunikacji w sytuacjach typowych dla wykonywania zawodu ratownika medycznego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zaliczenie pisemne,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 dyskusja</w:t>
            </w:r>
          </w:p>
        </w:tc>
      </w:tr>
      <w:tr>
        <w:trPr>
          <w:trHeight w:val="212" w:hRule="atLeast"/>
        </w:trPr>
        <w:tc>
          <w:tcPr>
            <w:tcW w:w="2548" w:type="dxa"/>
            <w:gridSpan w:val="4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strukturę i organizację systemu Państwowe Ratownictwo Medyczne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zasady promocji zdrowia i profilaktyki chorób;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>36 profilaktykę zachowań antyzdrowotnych przejawiających się w postaci używania środków odurzających lub substancji psychoaktywnych, spożywania alkoholu i palenia tytoniu oraz profilaktykę chorób cywilizacyjnych i psychicznych;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B.W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metody promocji zdrowia, ze szczególnym uwzględnieniem edukacji zdrowotnej;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3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B.W42 sposoby zwiększania sprawności fizycznej;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138" w:hRule="atLeast"/>
        </w:trPr>
        <w:tc>
          <w:tcPr>
            <w:tcW w:w="2548" w:type="dxa"/>
            <w:gridSpan w:val="4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8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B.U8 stosować się do zasad bezpieczeństwa sanitarno-epidemiologicznego oraz profilaktyki chorób zakaźnych i niezakaźnych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Realizacja zleconego zadania, sprawdzian praktyczny</w:t>
            </w:r>
          </w:p>
        </w:tc>
      </w:tr>
      <w:tr>
        <w:trPr>
          <w:trHeight w:val="138" w:hRule="atLeast"/>
        </w:trPr>
        <w:tc>
          <w:tcPr>
            <w:tcW w:w="2548" w:type="dxa"/>
            <w:gridSpan w:val="4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B.U11 komunikować się ze współpracownikami w ramach zespołu, udzielając im informacji zwrotnej i wsparcia;</w:t>
            </w:r>
          </w:p>
        </w:tc>
        <w:tc>
          <w:tcPr>
            <w:tcW w:w="1914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B.U12 podnosić swoje kwalifikacje i przekazywać wiedzę innym;</w:t>
            </w:r>
          </w:p>
        </w:tc>
        <w:tc>
          <w:tcPr>
            <w:tcW w:w="1914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895" w:hRule="atLeast"/>
        </w:trPr>
        <w:tc>
          <w:tcPr>
            <w:tcW w:w="2548" w:type="dxa"/>
            <w:gridSpan w:val="4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6803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K1 aktywnego słuchania, nawiązywania kontaktów interpersonalnych, skutecznego i empatycznego porozumiewania się z pacjentem;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 organizowania pracy własnej i współpracy w zespole, w tym z osobami wykonującymi inne zawody medyczne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K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5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Obserwacja przez opiekuna / nauczyciela prowadzącego,</w:t>
            </w:r>
          </w:p>
        </w:tc>
      </w:tr>
      <w:tr>
        <w:trPr>
          <w:trHeight w:val="277" w:hRule="atLeast"/>
        </w:trPr>
        <w:tc>
          <w:tcPr>
            <w:tcW w:w="2548" w:type="dxa"/>
            <w:gridSpan w:val="4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zaliczenie ustne (niestandaryzowany, standaryzowany, tradycyjny, problemowy).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zaliczenie – sprawdzian praktyczny w warunkach symulowanych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Pierwsza pomoc - zakres czynności: rozpoznanie zagrożenia, wstępne zabezpieczenie poszkodowanego i miejsca zdarzenia, nadanie sygnału „Na ratunek".</w:t>
            </w:r>
          </w:p>
        </w:tc>
        <w:tc>
          <w:tcPr>
            <w:tcW w:w="1914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Podstawowe czynności resuscytacyjne dorosłych i dzieci.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Podstawowe czynności ratunkowe w różnych rodzajach zagrożeń, powtarzanie oceny i zabezpieczenia poszkodowanego.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Opracowanie programu kursu, podział materiału kursu.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Opracowanie celów realizacji tematów kursu w zakresie wiedzy, umiejętności i motywacji.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Metodyka prowadzenia zajęć.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Techniczne środki kształcenia.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Ocena skuteczności nauczania.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Metodyka egzaminu.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Baza dydaktyczna i wymagania sprzętowe.</w:t>
            </w:r>
          </w:p>
        </w:tc>
        <w:tc>
          <w:tcPr>
            <w:tcW w:w="1914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Organizacja zajęć podczas kursu pierwszej pomocy.</w:t>
            </w:r>
          </w:p>
        </w:tc>
        <w:tc>
          <w:tcPr>
            <w:tcW w:w="1914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Metody nauczania i doskonalenia czynności resuscytacyjnych u dorosłych i dzieci. Metody nauczania i doskonalenia czynności z zakresu pierwszej pomocy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Metody nauczania i doskonalenia czynności z zakresu pierwszej pomocy. Organizacja egzaminu teoretycznego i praktycznego z pierwszej pomocy.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Organizacja egzaminu teoretycznego i praktycznego z pierwszej pomocy.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51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Prowadzenie dokumentacji kursu pierwszej pomocy.</w:t>
            </w:r>
          </w:p>
        </w:tc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pisemne,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– sprawdzian praktyczny w warunkach symulowanych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696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8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696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696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8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2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Wiktor Piotrowski, Adam Klar: Metodyka nauczania pierwszej pomocy i kwalifikowanej pierwszej pomocy w medycynie ratunkowej: dla studentów kierunków medycznych. Wyższa Szkoła Planowania Strategicznego, Dąbrowa Górnicza 2011.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Juliusz Jakubaszko, Andrzej Boznański: Ratownik medyczny: podręcznik. Górnicki Wydaw. Medyczne, Wrocław 2010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eastAsia="NSimSun" w:cs="Times New Roma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NSimSun" w:cs="Times New Roman" w:ascii="Times New Roman" w:hAnsi="Times New Roman"/>
                <w:kern w:val="2"/>
                <w:sz w:val="20"/>
                <w:szCs w:val="20"/>
                <w:lang w:eastAsia="zh-CN" w:bidi="hi-IN"/>
              </w:rPr>
              <w:t>Wytyczne 2015 resuscytacji krążeniowo - oddechowej. Europejska Rada Resuscytacji; Polska Rada Resuscytacji. Kraków: Polska Rada Resuscytacji, Kraków 2015</w:t>
            </w:r>
          </w:p>
        </w:tc>
      </w:tr>
      <w:tr>
        <w:trPr>
          <w:trHeight w:val="277" w:hRule="atLeast"/>
        </w:trPr>
        <w:tc>
          <w:tcPr>
            <w:tcW w:w="11265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616" w:hRule="atLeast"/>
        </w:trPr>
        <w:tc>
          <w:tcPr>
            <w:tcW w:w="11265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63"/>
              <w:contextualSpacing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Wincenty Okoń: Wprowadzenie do dydaktyki ogólnej. ŻAK Wydawnictwo Akademickie, Warszawa 2003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0" w:after="160"/>
              <w:ind w:hanging="360" w:left="363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Czesław Kupisiewicz: Dydaktyka ogólna. Graf Punkt Oficyna Wydawnicza, Warszawa 2002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Application>LibreOffice/24.2.5.2$Windows_X86_64 LibreOffice_project/bffef4ea93e59bebbeaf7f431bb02b1a39ee8a59</Application>
  <AppVersion>15.0000</AppVersion>
  <DocSecurity>0</DocSecurity>
  <Pages>3</Pages>
  <Words>1100</Words>
  <Characters>7861</Characters>
  <CharactersWithSpaces>8795</CharactersWithSpaces>
  <Paragraphs>183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2026-04-17T15:47:08Z</dcterms:modified>
  <cp:revision>147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